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girişlerine kişisel hijyenle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 üniteleri ve diğer ekipmanların (oyuncaklar, spor aletleri vb.) temizlik işlemleriyapılacaktır.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Kapalı Oyun alanlarında 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Kişiler arasında uygun mesafe olacak şekilde ve genel hijyen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Sınıf içerisinde solunum hijyeni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09293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Yemek hizmetinin dışarıdan temin edilmesi durumunda mevcut kurallara ek olarak yüklenici firmadan içeriğinde hijyenik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kontrol için eylem planı” istenecek.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hijyen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yanı sıra temizlik ve dezenfekte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2C2BE1">
        <w:trPr>
          <w:trHeight w:val="128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kağıt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F7BA3" w:rsidRDefault="000F7BA3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93BCC" w:rsidRPr="00F93BCC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3BCC">
              <w:rPr>
                <w:rFonts w:asciiTheme="minorHAnsi" w:hAnsiTheme="minorHAnsi" w:cstheme="minorHAnsi"/>
                <w:b/>
                <w:sz w:val="20"/>
                <w:szCs w:val="20"/>
              </w:rPr>
              <w:t>Eğitim Kuruluşu Hizmet Araçları</w:t>
            </w:r>
          </w:p>
        </w:tc>
        <w:tc>
          <w:tcPr>
            <w:tcW w:w="5245" w:type="dxa"/>
          </w:tcPr>
          <w:p w:rsidR="00F93BCC" w:rsidRPr="007D0311" w:rsidRDefault="000F7BA3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F93BCC" w:rsidRPr="007D0311" w:rsidRDefault="00F93BCC" w:rsidP="00445B1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F31E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Planı</w:t>
            </w:r>
          </w:p>
        </w:tc>
      </w:tr>
      <w:tr w:rsidR="00F93BCC" w:rsidRPr="007D0311" w:rsidTr="00DC7B71">
        <w:trPr>
          <w:trHeight w:val="868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715E8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Salgın hastalık dönemlerinde araçlarda klima iç hav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dolaşımının kapalı tutularak</w:t>
            </w: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, mümkünse klima yerine doğal havalandırma tercih edilmesi sağla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0D7DCD">
        <w:trPr>
          <w:trHeight w:val="676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6A2D9A" w:rsidRDefault="00F93BCC" w:rsidP="006A2D9A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sz w:val="20"/>
                <w:szCs w:val="20"/>
              </w:rPr>
              <w:t>Araçların klima hava filtre bakımı düzenli olarak yapılması ve takip edilmesi sağlan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93BCC" w:rsidRPr="007D0311" w:rsidTr="002C2BE1">
        <w:trPr>
          <w:trHeight w:val="1353"/>
        </w:trPr>
        <w:tc>
          <w:tcPr>
            <w:tcW w:w="2547" w:type="dxa"/>
            <w:vMerge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3BCC" w:rsidRPr="00E70A9E" w:rsidRDefault="00F93BCC" w:rsidP="005442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0A9E">
              <w:rPr>
                <w:rFonts w:asciiTheme="minorHAnsi" w:hAnsiTheme="minorHAnsi" w:cstheme="minorHAnsi"/>
                <w:sz w:val="20"/>
                <w:szCs w:val="20"/>
              </w:rPr>
              <w:t>Araçlarda, salgın hastalık durumlarına özgü yerleşim planı ve salgın hastalık durumlarına uygun kişisel koruyucu önlemler için gerekli kişiye özel (maske, yüz koruyucu siperlik vb.) KKD kullanımı sağlanacaktır.</w:t>
            </w:r>
          </w:p>
        </w:tc>
        <w:tc>
          <w:tcPr>
            <w:tcW w:w="2686" w:type="dxa"/>
          </w:tcPr>
          <w:p w:rsidR="00F93BCC" w:rsidRDefault="00F93BCC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D7DCD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2C2BE1" w:rsidRDefault="002C2BE1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C2BE1" w:rsidRDefault="002C2BE1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hijyen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hijyen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2C2BE1" w:rsidRDefault="002C2BE1" w:rsidP="002C2BE1">
      <w:r>
        <w:t xml:space="preserve">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2C2BE1" w:rsidRDefault="002C2BE1" w:rsidP="002C2BE1">
      <w:r>
        <w:t xml:space="preserve">                       EFE YILMAZ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AYBARS EREN</w:t>
      </w:r>
    </w:p>
    <w:p w:rsidR="002C2BE1" w:rsidRDefault="002C2BE1" w:rsidP="002C2BE1">
      <w:r>
        <w:t xml:space="preserve">                 MÜDÜR YARDIMCISI</w:t>
      </w:r>
    </w:p>
    <w:p w:rsidR="00FF4AD6" w:rsidRDefault="00FF4AD6" w:rsidP="00E61130"/>
    <w:sectPr w:rsidR="00FF4AD6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868" w:rsidRDefault="00F67868" w:rsidP="00CD4279">
      <w:pPr>
        <w:spacing w:after="0" w:line="240" w:lineRule="auto"/>
      </w:pPr>
      <w:r>
        <w:separator/>
      </w:r>
    </w:p>
  </w:endnote>
  <w:endnote w:type="continuationSeparator" w:id="1">
    <w:p w:rsidR="00F67868" w:rsidRDefault="00F67868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868" w:rsidRDefault="00F67868" w:rsidP="00CD4279">
      <w:pPr>
        <w:spacing w:after="0" w:line="240" w:lineRule="auto"/>
      </w:pPr>
      <w:r>
        <w:separator/>
      </w:r>
    </w:p>
  </w:footnote>
  <w:footnote w:type="continuationSeparator" w:id="1">
    <w:p w:rsidR="00F67868" w:rsidRDefault="00F67868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70"/>
      <w:gridCol w:w="6661"/>
      <w:gridCol w:w="2344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2C2BE1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KEŞAN</w:t>
          </w:r>
          <w:r w:rsidR="002B476E">
            <w:rPr>
              <w:color w:val="FF0000"/>
            </w:rPr>
            <w:t xml:space="preserve">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2B476E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2C2BE1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KEŞAN ATATÜRK ORTAOKULU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476E"/>
    <w:rsid w:val="002B71E4"/>
    <w:rsid w:val="002C22B0"/>
    <w:rsid w:val="002C2BE1"/>
    <w:rsid w:val="002D1232"/>
    <w:rsid w:val="002D59D2"/>
    <w:rsid w:val="0030252B"/>
    <w:rsid w:val="003051C0"/>
    <w:rsid w:val="003303A3"/>
    <w:rsid w:val="00346897"/>
    <w:rsid w:val="00350B44"/>
    <w:rsid w:val="00360C9B"/>
    <w:rsid w:val="00375EAF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159A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4582F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935E1"/>
    <w:rsid w:val="008A6744"/>
    <w:rsid w:val="008C1BDF"/>
    <w:rsid w:val="008D18C0"/>
    <w:rsid w:val="008D6772"/>
    <w:rsid w:val="008F52C4"/>
    <w:rsid w:val="008F59BF"/>
    <w:rsid w:val="00937D59"/>
    <w:rsid w:val="009547CB"/>
    <w:rsid w:val="009A6936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85AAD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A3D6D"/>
    <w:rsid w:val="00EF3127"/>
    <w:rsid w:val="00F03418"/>
    <w:rsid w:val="00F30732"/>
    <w:rsid w:val="00F32227"/>
    <w:rsid w:val="00F4042D"/>
    <w:rsid w:val="00F613DB"/>
    <w:rsid w:val="00F65D60"/>
    <w:rsid w:val="00F67868"/>
    <w:rsid w:val="00F77923"/>
    <w:rsid w:val="00F839FB"/>
    <w:rsid w:val="00F93BCC"/>
    <w:rsid w:val="00F9690C"/>
    <w:rsid w:val="00FA33E0"/>
    <w:rsid w:val="00FA658E"/>
    <w:rsid w:val="00FB50A4"/>
    <w:rsid w:val="00FC13C5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PRIME</cp:lastModifiedBy>
  <cp:revision>4</cp:revision>
  <cp:lastPrinted>2021-06-17T09:32:00Z</cp:lastPrinted>
  <dcterms:created xsi:type="dcterms:W3CDTF">2024-10-10T10:20:00Z</dcterms:created>
  <dcterms:modified xsi:type="dcterms:W3CDTF">2024-10-11T08:51:00Z</dcterms:modified>
</cp:coreProperties>
</file>